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kern w:val="2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cs-CZ"/>
        </w:rPr>
        <w:t>Kde jsme nyní?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Jsme příspěvková organizace zřízená obcí Nížkovice. Jsme málotřídní ZŠ se dvěma odděleními MŠ, školní družinou a školní jídelnou. Vzděláváme žáky 1. - 5. ročníku </w:t>
      </w:r>
      <w:r>
        <w:rPr>
          <w:rFonts w:ascii="Times New Roman" w:hAnsi="Times New Roman"/>
          <w:b/>
          <w:bCs/>
          <w:kern w:val="2"/>
          <w:sz w:val="24"/>
          <w:szCs w:val="24"/>
        </w:rPr>
        <w:t>ve třech kmenových třídách.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jc w:val="both"/>
        <w:rPr>
          <w:rFonts w:ascii="Times New Roman" w:hAnsi="Times New Roman"/>
          <w:b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Jsme fakultní školou Pedagogické fakulty Masarykovy university v Brně.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S předškoláky celoročně připravujeme na plynulý přechod z MŠ do ZŠ. 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Žáci 1. ročníku se učí číst a psát genetickou metodou. Všichni žáci ZŠ hrají na zobcovou flétnu, která jim pomáhá rozvíjet sluchovou percepci a správné dýchání. Učíme angličtinu od 1. ročníku. 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V naší škole pracuje poměrně </w:t>
      </w:r>
      <w:r>
        <w:rPr>
          <w:rFonts w:ascii="Times New Roman" w:hAnsi="Times New Roman"/>
          <w:b/>
          <w:bCs/>
          <w:kern w:val="2"/>
          <w:sz w:val="24"/>
          <w:szCs w:val="24"/>
        </w:rPr>
        <w:t>zkušený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pedagogický kolektiv, který je ochoten se dále vzdělávat a přijímat nové metody a formy učení.</w:t>
      </w:r>
    </w:p>
    <w:p>
      <w:pPr>
        <w:pStyle w:val="Normal"/>
        <w:numPr>
          <w:ilvl w:val="0"/>
          <w:numId w:val="0"/>
        </w:numPr>
        <w:spacing w:before="280" w:after="28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Při naší škole mají žáci možnost volnočasových aktivit. Nabídkou kroužků a </w:t>
      </w:r>
      <w:r>
        <w:rPr>
          <w:rFonts w:ascii="Times New Roman" w:hAnsi="Times New Roman"/>
          <w:b/>
          <w:bCs/>
          <w:kern w:val="2"/>
          <w:sz w:val="24"/>
          <w:szCs w:val="24"/>
        </w:rPr>
        <w:t>spolupráci s KAŠTÁNKY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vedeme děti k smysluplnému trávení volného času a zamezujeme šíření sociálně patologických jevů. Pořádáme lyžařské výcviky nejen pro děti školou povinné a adaptační pobyt Motýl.</w:t>
      </w:r>
    </w:p>
    <w:p>
      <w:pPr>
        <w:pStyle w:val="Normal"/>
        <w:numPr>
          <w:ilvl w:val="0"/>
          <w:numId w:val="0"/>
        </w:numPr>
        <w:spacing w:beforeAutospacing="1" w:afterAutospacing="1"/>
        <w:ind w:left="0" w:hanging="0"/>
        <w:jc w:val="both"/>
        <w:outlineLvl w:val="0"/>
        <w:rPr>
          <w:bCs/>
          <w:kern w:val="2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cs-CZ"/>
        </w:rPr>
        <w:t>Jsme partnery dětského domova LILA v Otnicích a ZŠ a MŠ Ivančice-Řeznovice. Spolupracujeme s Asociací domácího vzdělávání.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cs-CZ"/>
        </w:rPr>
      </w:r>
    </w:p>
    <w:p>
      <w:pPr>
        <w:pStyle w:val="Styleh3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Kde bychom chtěli být?“</w:t>
      </w:r>
    </w:p>
    <w:p>
      <w:pPr>
        <w:pStyle w:val="Styleh3"/>
        <w:spacing w:lineRule="auto" w:line="276"/>
        <w:jc w:val="both"/>
        <w:rPr>
          <w:b/>
          <w:b/>
          <w:i/>
          <w:i/>
        </w:rPr>
      </w:pPr>
      <w:r>
        <w:rPr>
          <w:b/>
        </w:rPr>
        <w:t>„</w:t>
      </w:r>
      <w:r>
        <w:rPr>
          <w:b/>
        </w:rPr>
        <w:t xml:space="preserve">Chceme mít školu OTEVŘENOU, BEZPEČNOU, PODNĚTNOU A </w:t>
      </w:r>
      <w:r>
        <w:rPr>
          <w:b/>
          <w:i/>
          <w:u w:val="single"/>
        </w:rPr>
        <w:t>KVALITNÍ.</w:t>
      </w:r>
      <w:r>
        <w:rPr>
          <w:b/>
          <w:i/>
        </w:rPr>
        <w:t>“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276"/>
        <w:jc w:val="both"/>
        <w:rPr/>
      </w:pPr>
      <w:r>
        <w:rPr/>
        <w:t>Jsem přesvědčena, že práce ve školství (řídící i přímá pedagogická s dětmi) je práce kontinuální sama o sobě, a je proto nutné navázat na předchozí období, inspirovat se z úspěchů a poučit se z chyb a nedostatků. Škola má vždy své limity – materiální, prostorové, personální i finanční. Proto je třeba zaměřit se spíš na jejich účelné, nápadité a plné využívání.</w:t>
        <w:br/>
        <w:t>Škola má však téměř neomezené hranice a možnosti svého vlastního rozvoje v učitelích i žácích a záleží tedy pouze na chuti pedagogů měnit sebe, své metody a formy práce, a tím i školu. Proto kladu velký důraz na vzdělávání pedagogických pracovníků jak individuální, tak především týmové a na zapojení školy do rozvojových projektů a ostatní rozvíjející aktivity.</w:t>
        <w:br/>
        <w:t>Vytvoření koncepce předcházela SWOT analýza a upřesnění vize školy.</w:t>
      </w:r>
    </w:p>
    <w:p>
      <w:pPr>
        <w:pStyle w:val="NormalWeb"/>
        <w:rPr/>
      </w:pPr>
      <w:r>
        <w:rPr/>
      </w:r>
    </w:p>
    <w:p>
      <w:pPr>
        <w:pStyle w:val="Styleh3"/>
        <w:spacing w:lineRule="auto" w:line="276"/>
        <w:jc w:val="both"/>
        <w:rPr/>
      </w:pPr>
      <w:r>
        <w:rPr/>
        <w:t>Koncepce školy je předložena na základě podrobné SWOT analýzy a marketinkového pohledu na školu i reflexe předchozího školního roku. Obě analýzy i reflexe jsou přiloženy jako přílohy k tomuto dokumentu.</w:t>
      </w:r>
    </w:p>
    <w:p>
      <w:pPr>
        <w:pStyle w:val="Styleh3"/>
        <w:spacing w:lineRule="auto" w:line="276"/>
        <w:jc w:val="both"/>
        <w:rPr/>
      </w:pPr>
      <w:r>
        <w:rPr/>
      </w:r>
    </w:p>
    <w:p>
      <w:pPr>
        <w:pStyle w:val="Styleh3"/>
        <w:spacing w:lineRule="auto" w:line="276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Jak se tam dostaneme?“</w:t>
      </w:r>
    </w:p>
    <w:p>
      <w:pPr>
        <w:pStyle w:val="NormalWeb"/>
        <w:rPr/>
      </w:pPr>
      <w:r>
        <w:rPr/>
        <w:t> </w:t>
      </w:r>
      <w:r>
        <w:rPr>
          <w:rStyle w:val="Strong"/>
        </w:rPr>
        <w:t>Hlavní strategické cíle a realizační plán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/>
        <w:t>Posilování role a motivace učitelů, zvyšování aktivního podílu pracovníků na řízení a zlepšování práce školy, ustálení pedagogického i nepedagogického sboru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/>
        <w:t xml:space="preserve"> </w:t>
      </w:r>
      <w:r>
        <w:rPr/>
        <w:t>Neustálé zkvalitňování spolupráce s rodiči a veřejností, propagace práce školy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/>
        <w:t>Zkvalitňování v oblasti řízení školy z hlediska aspektů organizačních, personálních,   ekonomických a materiálně technických</w:t>
      </w:r>
    </w:p>
    <w:p>
      <w:pPr>
        <w:pStyle w:val="NormalWeb"/>
        <w:numPr>
          <w:ilvl w:val="0"/>
          <w:numId w:val="1"/>
        </w:numPr>
        <w:spacing w:lineRule="auto" w:line="276"/>
        <w:rPr/>
      </w:pPr>
      <w:r>
        <w:rPr/>
        <w:t>Navázání spolupráce s Moty klubem ve Slavkově</w:t>
      </w:r>
    </w:p>
    <w:p>
      <w:pPr>
        <w:pStyle w:val="NormalWeb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cs-CZ"/>
        </w:rPr>
        <w:t>Posilovat roli a motivaci učitelů, zvyšovat odbornou a pedagogickou úroveň sboru, ustálení pedagogického i nepedagogického sboru</w:t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u w:val="single"/>
          <w:lang w:eastAsia="cs-CZ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cs-CZ"/>
        </w:rPr>
        <w:t>Hlavní úkoly: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Udržení a zvyšování odborné a pedagogické způsobilosti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Umožňování dalšího odborného růstu všech zaměstnanců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Podporovat osobní růst pedagogů</w:t>
      </w:r>
    </w:p>
    <w:p>
      <w:pPr>
        <w:pStyle w:val="Normal"/>
        <w:numPr>
          <w:ilvl w:val="0"/>
          <w:numId w:val="3"/>
        </w:numPr>
        <w:spacing w:before="0" w:afterAutospacing="1"/>
        <w:rPr/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Hodnocení a sebehodnocení vykonané práce – pravidelně, plánovaně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u w:val="single"/>
          <w:lang w:eastAsia="cs-CZ"/>
        </w:rPr>
      </w:pPr>
      <w:bookmarkStart w:id="0" w:name="__DdeLink__245_2728649497"/>
      <w:r>
        <w:rPr>
          <w:rFonts w:eastAsia="Times New Roman" w:ascii="Times New Roman" w:hAnsi="Times New Roman"/>
          <w:sz w:val="24"/>
          <w:szCs w:val="24"/>
          <w:u w:val="single"/>
          <w:lang w:eastAsia="cs-CZ"/>
        </w:rPr>
        <w:t>Prostředky k dosažení cíle:</w:t>
      </w:r>
      <w:bookmarkEnd w:id="0"/>
    </w:p>
    <w:p>
      <w:pPr>
        <w:pStyle w:val="Normal"/>
        <w:numPr>
          <w:ilvl w:val="0"/>
          <w:numId w:val="4"/>
        </w:numPr>
        <w:spacing w:beforeAutospacing="1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Průběžné DVPP pedagogů zaměřit na činnostní učení – PPP Brno (M, ČJ), distanční výuka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DVPP zaměřit i dle výběru jednotlivých učitelů – webináře, jazyky, ICT, podpůrná opatření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Zajistit studium nově nastupujícímu AP, vedoucí ŠJ – hygienické minimum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Využít možnosti  vzdělávání z MAPu II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Podporovat vzdělávání pedagogů ve spolupráci na projektech Pdf MU Brno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Podporovat vzájemnou hospitační činnost, náhledy do hodin, vyžádané hospitace 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Podpora dalšího vzdělávání v souladu s touto koncepcí, plán DVPP pravidelně (jednou ročně) aktualizovat</w:t>
      </w:r>
    </w:p>
    <w:p>
      <w:pPr>
        <w:pStyle w:val="Normal"/>
        <w:numPr>
          <w:ilvl w:val="0"/>
          <w:numId w:val="4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Vedení 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profesního portfolia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Pokračovat v pravidelném 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hodnocení pedagogů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(1x ročně), pohovor + stanovení dlouhodobých a krátkodobých cílů a jejich následné plnění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Pokračovat v hodnocení i nepedagogických pracovníků – silné + slabé stránky</w:t>
      </w:r>
    </w:p>
    <w:p>
      <w:pPr>
        <w:pStyle w:val="Normal"/>
        <w:numPr>
          <w:ilvl w:val="0"/>
          <w:numId w:val="4"/>
        </w:numPr>
        <w:spacing w:before="0" w:afterAutospacing="1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Využít nápadů ostatních zaměstnanců (i nepedagogů) ke zlepšení chodu školy</w:t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Web"/>
        <w:numPr>
          <w:ilvl w:val="0"/>
          <w:numId w:val="2"/>
        </w:numPr>
        <w:rPr>
          <w:b/>
          <w:b/>
        </w:rPr>
      </w:pPr>
      <w:r>
        <w:rPr>
          <w:b/>
        </w:rPr>
        <w:t>Neustálé zkvalitňovat spolupráci s rodiči a veřejností, propagovat práci školy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u w:val="single"/>
          <w:lang w:eastAsia="cs-CZ"/>
        </w:rPr>
      </w:pPr>
      <w:r>
        <w:rPr>
          <w:rFonts w:eastAsia="Times New Roman" w:cs="" w:ascii="Times New Roman" w:hAnsi="Times New Roman" w:cstheme="minorBidi"/>
          <w:sz w:val="24"/>
          <w:szCs w:val="24"/>
          <w:u w:val="single"/>
          <w:lang w:eastAsia="cs-CZ"/>
        </w:rPr>
        <w:t>Hlavní úkoly a cíle:</w:t>
      </w:r>
    </w:p>
    <w:p>
      <w:pPr>
        <w:pStyle w:val="ListParagraph"/>
        <w:spacing w:lineRule="auto" w:line="240" w:beforeAutospacing="1" w:afterAutospacing="1"/>
        <w:contextualSpacing/>
        <w:rPr>
          <w:rFonts w:ascii="Times New Roman" w:hAnsi="Times New Roman" w:eastAsia="Times New Roman"/>
          <w:sz w:val="24"/>
          <w:szCs w:val="24"/>
          <w:u w:val="single"/>
          <w:lang w:eastAsia="cs-CZ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cs-CZ"/>
        </w:rPr>
      </w:r>
    </w:p>
    <w:p>
      <w:pPr>
        <w:pStyle w:val="ListParagraph"/>
        <w:numPr>
          <w:ilvl w:val="0"/>
          <w:numId w:val="5"/>
        </w:numPr>
        <w:spacing w:beforeAutospacing="1" w:after="0"/>
        <w:contextualSpacing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Vytvářet i nadále žádoucí image školy, prezentovat školu a její aktivity na veřejnosti – nástěnka, webové stránky, regionální tisk, školní časopis, informační zpravodaj, výstupy od žáků, jejich reflexe na webu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Spolupracovat s rodiči žáků při organizování volného času dětí, jejich kulturního a sportovního rozvoje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Zajišťovat trvalý a plynulý přenos informací rodičům prostřednictvím třídních schůzek, hovorových hodin, hromadných i individuálních mailů. Informovat průběžně a pravidelně rodiče o své činnosti prostřednictvím webových stránek, mailů,  informačního zpravodaje v obci. Pořádat dílny, zahradní slavnosti, benefiční vánoční koncerty, lyžařské výcviky, organizovat společné akce pedagogů a žáků i rodičů – slavnostní zahájení, ukončení školního roku, pasování předškoláků, rozsvícení vánočního stromu, vánoční jarmark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Spolupracovat na rozvoji a péči o 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přírodní zahradu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Spolupracovat s 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cs-CZ"/>
        </w:rPr>
        <w:t>partnerskou školou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 i okolními školami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Pokračovat v 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aktivní spolupráci s Pedagogickou fakultou Masarykovy univerzity Brno –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 pravidelné náhledy studentů 5. ročníku Učitelství 1. stupně,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Pokračovat ve výborné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 spolupráci s dětským domovem LILA –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cs-CZ"/>
        </w:rPr>
        <w:t xml:space="preserve"> vánoční pečení perníků, společné výlety a vzájemné návštěvy, benefiční koncert</w:t>
      </w:r>
    </w:p>
    <w:p>
      <w:pPr>
        <w:pStyle w:val="ListParagraph"/>
        <w:numPr>
          <w:ilvl w:val="0"/>
          <w:numId w:val="5"/>
        </w:numPr>
        <w:spacing w:before="0" w:afterAutospacing="1"/>
        <w:contextualSpacing/>
        <w:rPr/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Spolupracovat s MAP a MAS</w:t>
      </w:r>
    </w:p>
    <w:p>
      <w:pPr>
        <w:pStyle w:val="ListParagraph"/>
        <w:spacing w:before="0" w:afterAutospacing="1"/>
        <w:ind w:left="720" w:hanging="0"/>
        <w:contextualSpacing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ListParagraph"/>
        <w:spacing w:before="0" w:afterAutospacing="1"/>
        <w:ind w:left="720" w:hanging="0"/>
        <w:contextualSpacing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2"/>
        </w:numPr>
        <w:spacing w:beforeAutospacing="1" w:afterAutospacing="1"/>
        <w:contextualSpacing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cs-CZ"/>
        </w:rPr>
        <w:t>Zkvalitňovat oblast řízení školy z hlediska aspektů organizačních, personálních,   ekonomických a materiálně technických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u w:val="single"/>
          <w:lang w:eastAsia="cs-CZ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cs-CZ"/>
        </w:rPr>
        <w:t>Hlavní úkoly a cíle:</w:t>
      </w:r>
    </w:p>
    <w:p>
      <w:pPr>
        <w:pStyle w:val="Normal"/>
        <w:numPr>
          <w:ilvl w:val="0"/>
          <w:numId w:val="6"/>
        </w:numPr>
        <w:spacing w:beforeAutospacing="1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Zdokonalovat řídící činnost, dále zvyšovat aktivní podíl pracovníků na řízení a zlepšování práce školy. Zajistit podíl pracovníků na strategickém řízení, nadále postupně delegovat výkonné kompetence na co nejnižší úrovně řízení </w:t>
      </w:r>
    </w:p>
    <w:p>
      <w:pPr>
        <w:pStyle w:val="Normal"/>
        <w:numPr>
          <w:ilvl w:val="0"/>
          <w:numId w:val="6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Průběžně analyzovat vnitřní předpisy a dokumentaci školy. Postupně je inovovat dle záměru rozvoje školy a jejích potřeb </w:t>
      </w:r>
    </w:p>
    <w:p>
      <w:pPr>
        <w:pStyle w:val="Normal"/>
        <w:numPr>
          <w:ilvl w:val="0"/>
          <w:numId w:val="6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Podporovat iniciativu a motivaci pedagogických i nepedagogických zaměstnanců, oceňovat náměty a návrhy, ale i realizaci nových postupů </w:t>
      </w:r>
    </w:p>
    <w:p>
      <w:pPr>
        <w:pStyle w:val="Normal"/>
        <w:numPr>
          <w:ilvl w:val="0"/>
          <w:numId w:val="6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Vyžadovat zodpovědnost všech pracovníků za výsledky jednotlivých žáků, třídy, školy; </w:t>
      </w:r>
      <w:r>
        <w:rPr>
          <w:rFonts w:eastAsia="Times New Roman" w:ascii="Times New Roman" w:hAnsi="Times New Roman"/>
          <w:b/>
          <w:bCs/>
          <w:sz w:val="24"/>
          <w:szCs w:val="24"/>
          <w:lang w:eastAsia="cs-CZ"/>
        </w:rPr>
        <w:t>vést všechny pracovníky k jednotnému a důslednému působení na žáky, na děti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. </w:t>
      </w:r>
    </w:p>
    <w:p>
      <w:pPr>
        <w:pStyle w:val="Normal"/>
        <w:numPr>
          <w:ilvl w:val="0"/>
          <w:numId w:val="6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Analyzovat důvody neprospěchu, zaměřit se na prevenci případné školní neúspěšnosti, využívat školních asistentů pro podchycení případného školního neúspěchu </w:t>
      </w:r>
    </w:p>
    <w:p>
      <w:pPr>
        <w:pStyle w:val="Normal"/>
        <w:numPr>
          <w:ilvl w:val="0"/>
          <w:numId w:val="6"/>
        </w:numPr>
        <w:spacing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Certifikace školy značkou „Rodiče vítáni“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, její obnova s rozšířením splněných kritérií (1x ročně). </w:t>
      </w:r>
    </w:p>
    <w:p>
      <w:pPr>
        <w:pStyle w:val="Normal"/>
        <w:numPr>
          <w:ilvl w:val="0"/>
          <w:numId w:val="6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Nadále volbou žáků do 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školního parlamentu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jim umožnit spolupodílení se na rozhodování některých aspektů školy – nápady k projektovým výukám, plány na besedy, výlety, spolutvorba pravidel, prezentace školy – web, nástěnky, zpravodaj… </w:t>
      </w:r>
    </w:p>
    <w:p>
      <w:pPr>
        <w:pStyle w:val="Normal"/>
        <w:numPr>
          <w:ilvl w:val="0"/>
          <w:numId w:val="6"/>
        </w:numPr>
        <w:spacing w:before="0" w:after="0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Nadále usilovat o modernizaci objektu a materiálně technického vybavení školy – PC, vybavení novým nábytkem sborovny, nadstavba, modernizace sociálního zařízení v MŠ</w:t>
      </w:r>
    </w:p>
    <w:p>
      <w:pPr>
        <w:pStyle w:val="Normal"/>
        <w:numPr>
          <w:ilvl w:val="0"/>
          <w:numId w:val="6"/>
        </w:numPr>
        <w:spacing w:before="0" w:afterAutospacing="1"/>
        <w:rPr/>
      </w:pPr>
      <w:r>
        <w:rPr>
          <w:rFonts w:eastAsia="Times New Roman" w:ascii="Times New Roman" w:hAnsi="Times New Roman"/>
          <w:sz w:val="24"/>
          <w:szCs w:val="24"/>
          <w:lang w:eastAsia="cs-CZ"/>
        </w:rPr>
        <w:t>Naplněnost školy dále podporovat nejen spoluprácí s </w:t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Asociací domácího vzdělávání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Autospacing="1"/>
        <w:ind w:left="720" w:hanging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numPr>
          <w:ilvl w:val="0"/>
          <w:numId w:val="0"/>
        </w:numPr>
        <w:spacing w:before="0" w:afterAutospacing="1"/>
        <w:ind w:left="720" w:hanging="0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cs-CZ"/>
        </w:rPr>
        <w:t>4. Navázat spolupráci s Moty klubem ve Slavkově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single"/>
          <w:lang w:eastAsia="cs-CZ"/>
        </w:rPr>
        <w:t>Hlavní úkoly a cíle:</w:t>
      </w:r>
    </w:p>
    <w:p>
      <w:pPr>
        <w:pStyle w:val="Normal"/>
        <w:numPr>
          <w:ilvl w:val="0"/>
          <w:numId w:val="11"/>
        </w:numPr>
        <w:spacing w:lineRule="auto" w:line="240" w:beforeAutospacing="1" w:after="0"/>
        <w:rPr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 xml:space="preserve">umožnit přijetí a povolení k </w:t>
      </w:r>
      <w:r>
        <w:rPr>
          <w:rFonts w:eastAsia="Times New Roman" w:ascii="Times New Roman" w:hAnsi="Times New Roman"/>
          <w:b/>
          <w:bCs/>
          <w:sz w:val="24"/>
          <w:szCs w:val="24"/>
          <w:u w:val="none"/>
          <w:lang w:eastAsia="cs-CZ"/>
        </w:rPr>
        <w:t>individuálnímu vzdělávání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 xml:space="preserve"> žákům v naší škole (zatím 1. ročník) s ohledem na kapacitu školy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>představit rodičům i pedagogům klubu koncepci naší školy i vizi školy, ŠVP, školní řád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>umožnit žákům, rodičům i pedagogům</w:t>
      </w:r>
      <w:r>
        <w:rPr>
          <w:rFonts w:eastAsia="Times New Roman" w:ascii="Times New Roman" w:hAnsi="Times New Roman"/>
          <w:b/>
          <w:bCs/>
          <w:sz w:val="24"/>
          <w:szCs w:val="24"/>
          <w:u w:val="none"/>
          <w:lang w:eastAsia="cs-CZ"/>
        </w:rPr>
        <w:t xml:space="preserve"> účast na společných aktivitách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 xml:space="preserve"> školy – společné slavnostní zahájení školního roku, adaptační pobyt, projektové dny, lyžařský výcvik, plavání…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>představit a seznámit aktéry s portfoliovým způsobem přezkoušení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 xml:space="preserve">využít možnosti </w:t>
      </w:r>
      <w:r>
        <w:rPr>
          <w:rFonts w:eastAsia="Times New Roman" w:ascii="Times New Roman" w:hAnsi="Times New Roman"/>
          <w:b/>
          <w:bCs/>
          <w:sz w:val="24"/>
          <w:szCs w:val="24"/>
          <w:u w:val="none"/>
          <w:lang w:eastAsia="cs-CZ"/>
        </w:rPr>
        <w:t>DVPP pedagogů v Montessori pedagogice</w:t>
      </w:r>
    </w:p>
    <w:p>
      <w:pPr>
        <w:pStyle w:val="Normal"/>
        <w:numPr>
          <w:ilvl w:val="0"/>
          <w:numId w:val="11"/>
        </w:numPr>
        <w:spacing w:lineRule="auto" w:line="240" w:before="0" w:afterAutospacing="1"/>
        <w:rPr>
          <w:u w:val="none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 xml:space="preserve">podporovat tyto žáky v </w:t>
      </w:r>
      <w:r>
        <w:rPr>
          <w:rFonts w:eastAsia="Times New Roman" w:ascii="Times New Roman" w:hAnsi="Times New Roman"/>
          <w:b/>
          <w:bCs/>
          <w:sz w:val="24"/>
          <w:szCs w:val="24"/>
          <w:u w:val="none"/>
          <w:lang w:eastAsia="cs-CZ"/>
        </w:rPr>
        <w:t>sebehodnocení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none"/>
          <w:lang w:eastAsia="cs-CZ"/>
        </w:rPr>
        <w:t xml:space="preserve"> prostřednictví Informačních knížek používaných v běžném režimu školy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u w:val="single"/>
          <w:lang w:eastAsia="cs-CZ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cs-CZ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/>
          <w:b w:val="false"/>
          <w:b w:val="false"/>
          <w:bCs w:val="false"/>
          <w:sz w:val="24"/>
          <w:szCs w:val="24"/>
          <w:u w:val="single"/>
          <w:lang w:eastAsia="cs-CZ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u w:val="single"/>
          <w:lang w:eastAsia="cs-CZ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Jak poznáme, že jsme se tam dostali?“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Zkvalitníme nastavený funkční systém hodnocení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Připravíme rozpracování dílčích projektů (např. zápis prvňáčků, slavnostní zahájení školního roku, pasování předškoláků, Den Země, benefiční vánoční koncert) 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Pravidelně i nadále provádíme kontroly jednotlivých kroků realizačního plánu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Nastavíme indikátory cílového stavu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Kontrolujeme a evalujeme pedagogickou práci školy (tvorba školního vzdělávacího programu – každoroční aktualizace s ohledem na platnou legislativu a konkrétní změny ve škole, počty tříd, žáků, dětí, režim dne…)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ascii="Times New Roman" w:hAnsi="Times New Roman"/>
          <w:sz w:val="24"/>
          <w:szCs w:val="24"/>
        </w:rPr>
        <w:t>Realizujeme projektové metody výuky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>
          <w:rFonts w:ascii="Times New Roman" w:hAnsi="Times New Roman"/>
          <w:sz w:val="24"/>
          <w:szCs w:val="24"/>
        </w:rPr>
        <w:t>Společně otevřeně reflektujeme každý školní rok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Autospacing="1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Cílem naší školy je výchova demokratického, zdravě sebevědomého žáka, připraveného na život v informační společnosti.</w:t>
      </w:r>
    </w:p>
    <w:p>
      <w:pPr>
        <w:pStyle w:val="Normal"/>
        <w:spacing w:beforeAutospacing="1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</w:r>
    </w:p>
    <w:p>
      <w:pPr>
        <w:pStyle w:val="Normal"/>
        <w:spacing w:beforeAutospacing="1" w:after="10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ŽÁK DEMOKRATICKÝ</w:t>
      </w:r>
    </w:p>
    <w:p>
      <w:pPr>
        <w:pStyle w:val="Normal"/>
        <w:numPr>
          <w:ilvl w:val="0"/>
          <w:numId w:val="9"/>
        </w:numPr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respektuje daná pravidla</w:t>
      </w:r>
    </w:p>
    <w:p>
      <w:pPr>
        <w:pStyle w:val="Normal"/>
        <w:numPr>
          <w:ilvl w:val="0"/>
          <w:numId w:val="9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podílí se na jejich tvorbě</w:t>
      </w:r>
    </w:p>
    <w:p>
      <w:pPr>
        <w:pStyle w:val="Normal"/>
        <w:numPr>
          <w:ilvl w:val="0"/>
          <w:numId w:val="9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řeší problémy diskuzí</w:t>
      </w:r>
    </w:p>
    <w:p>
      <w:pPr>
        <w:pStyle w:val="Normal"/>
        <w:numPr>
          <w:ilvl w:val="0"/>
          <w:numId w:val="9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umí argumentovat</w:t>
      </w:r>
    </w:p>
    <w:p>
      <w:pPr>
        <w:pStyle w:val="Normal"/>
        <w:numPr>
          <w:ilvl w:val="0"/>
          <w:numId w:val="9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umí vyjádřit svůj názor</w:t>
      </w:r>
    </w:p>
    <w:p>
      <w:pPr>
        <w:pStyle w:val="Normal"/>
        <w:numPr>
          <w:ilvl w:val="0"/>
          <w:numId w:val="9"/>
        </w:numPr>
        <w:spacing w:before="0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umí se rozhodovat</w:t>
      </w:r>
    </w:p>
    <w:p>
      <w:pPr>
        <w:pStyle w:val="Normal"/>
        <w:spacing w:beforeAutospacing="1" w:after="10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ŽÁK ZDRAVĚ SEBEVĚDOMÝ</w:t>
      </w:r>
    </w:p>
    <w:p>
      <w:pPr>
        <w:pStyle w:val="Normal"/>
        <w:numPr>
          <w:ilvl w:val="0"/>
          <w:numId w:val="10"/>
        </w:numPr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zná svoje klady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pokud má problém, hledá jeho řešení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umí si říct o pomoc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má svůj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DEŠTNÍK SEBEÚCTY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věří ve své schopnosti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používá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cs-CZ"/>
        </w:rPr>
        <w:t>JÁ VÝROKY</w:t>
      </w:r>
    </w:p>
    <w:p>
      <w:pPr>
        <w:pStyle w:val="Normal"/>
        <w:numPr>
          <w:ilvl w:val="0"/>
          <w:numId w:val="10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respektuje ostatní</w:t>
      </w:r>
    </w:p>
    <w:p>
      <w:pPr>
        <w:pStyle w:val="Normal"/>
        <w:numPr>
          <w:ilvl w:val="0"/>
          <w:numId w:val="10"/>
        </w:numPr>
        <w:spacing w:before="0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vybírá si a třídí informace kolem sebe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>ŽÁK NAPLŇUJÍCÍ KLÍČOVÉ KOMPETENCE</w:t>
      </w:r>
    </w:p>
    <w:p>
      <w:pPr>
        <w:pStyle w:val="Normal"/>
        <w:numPr>
          <w:ilvl w:val="0"/>
          <w:numId w:val="8"/>
        </w:numPr>
        <w:spacing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přijímá zodpovědnost za sebe a své chování vůči ostatním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přijímá ostatní takové, jací jsou, a navzájem si pomáhat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vyjadřuje a zdůvodňuje svoje názory – vhodnou formou, s respektem vůči druhému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rozvíjí své psychické, fyzické i emocionální zdraví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spoluvytváří a respektuje pravidla třídy, školy a společnosti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hledá a objevuje vlastní způsoby řešení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plánuje a organizuje svou práci a spolupracuje s ostatními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pracuje s chybou – objeví ji, přijme a napraví</w:t>
      </w:r>
    </w:p>
    <w:p>
      <w:pPr>
        <w:pStyle w:val="Normal"/>
        <w:numPr>
          <w:ilvl w:val="0"/>
          <w:numId w:val="8"/>
        </w:numPr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smysluplně a užitečně používá získané poznatky a dovednosti</w:t>
      </w:r>
    </w:p>
    <w:p>
      <w:pPr>
        <w:pStyle w:val="Normal"/>
        <w:numPr>
          <w:ilvl w:val="0"/>
          <w:numId w:val="8"/>
        </w:numPr>
        <w:spacing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prezentuje vlastní práci</w:t>
      </w:r>
    </w:p>
    <w:p>
      <w:pPr>
        <w:pStyle w:val="Normal"/>
        <w:spacing w:before="0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 Nížkovicích 23.8.2020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/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/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/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 přílohy</w:t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Autospacing="1" w:afterAutospacing="1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right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58"/>
      <w:gridCol w:w="7713"/>
    </w:tblGrid>
    <w:tr>
      <w:trPr/>
      <w:tc>
        <w:tcPr>
          <w:tcW w:w="1358" w:type="dxa"/>
          <w:tcBorders>
            <w:right w:val="single" w:sz="18" w:space="0" w:color="4F81BD"/>
            <w:insideV w:val="single" w:sz="18" w:space="0" w:color="4F81BD"/>
          </w:tcBorders>
          <w:shd w:fill="auto" w:val="clear"/>
        </w:tcPr>
        <w:p>
          <w:pPr>
            <w:pStyle w:val="Zpat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</w:p>
      </w:tc>
      <w:tc>
        <w:tcPr>
          <w:tcW w:w="7713" w:type="dxa"/>
          <w:tcBorders>
            <w:left w:val="single" w:sz="18" w:space="0" w:color="4F81BD"/>
            <w:right w:val="single" w:sz="18" w:space="0" w:color="4F81BD"/>
            <w:insideV w:val="single" w:sz="18" w:space="0" w:color="4F81BD"/>
          </w:tcBorders>
          <w:shd w:fill="auto" w:val="clear"/>
        </w:tcPr>
        <w:p>
          <w:pPr>
            <w:pStyle w:val="Zpat"/>
            <w:rPr>
              <w:color w:val="4F81BD" w:themeColor="accent1"/>
            </w:rPr>
          </w:pPr>
          <w:r>
            <w:rPr>
              <w:color w:val="4F81BD" w:themeColor="accent1"/>
            </w:rPr>
          </w:r>
        </w:p>
      </w:tc>
    </w:tr>
  </w:tbl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color w:val="365F91" w:themeColor="accent1" w:themeShade="bf"/>
      </w:rPr>
    </w:pPr>
    <w:r>
      <mc:AlternateContent>
        <mc:Choice Requires="wpg">
          <w:drawing>
            <wp:anchor behindDoc="1" distT="0" distB="0" distL="114300" distR="114300" simplePos="0" locked="0" layoutInCell="1" allowOverlap="1" relativeHeight="7">
              <wp:simplePos x="0" y="0"/>
              <wp:positionH relativeFrom="rightMargin">
                <wp:posOffset>-4300855</wp:posOffset>
              </wp:positionH>
              <wp:positionV relativeFrom="page">
                <wp:align>top</wp:align>
              </wp:positionV>
              <wp:extent cx="3489325" cy="1336675"/>
              <wp:effectExtent l="0" t="0" r="0" b="0"/>
              <wp:wrapNone/>
              <wp:docPr id="1" name="Obrázek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8760" cy="1335960"/>
                      </a:xfrm>
                    </wpg:grpSpPr>
                    <wps:wsp>
                      <wps:cNvSpPr/>
                      <wps:spPr>
                        <a:xfrm flipH="1" rot="5400000">
                          <a:off x="1273680" y="-1108080"/>
                          <a:ext cx="448920" cy="1767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a7bfde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g:grpSp>
                      <wpg:cNvGrpSpPr/>
                      <wpg:grpSpPr>
                        <a:xfrm>
                          <a:off x="0" y="870120"/>
                          <a:ext cx="3488760" cy="466200"/>
                        </a:xfrm>
                      </wpg:grpSpPr>
                      <wps:wsp>
                        <wps:cNvSpPr/>
                        <wps:spPr>
                          <a:xfrm>
                            <a:off x="2853720" y="115560"/>
                            <a:ext cx="635040" cy="350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29" h="2359">
                                <a:moveTo>
                                  <a:pt x="2079" y="2358"/>
                                </a:moveTo>
                                <a:lnTo>
                                  <a:pt x="0" y="2358"/>
                                </a:lnTo>
                                <a:lnTo>
                                  <a:pt x="1" y="665"/>
                                </a:lnTo>
                                <a:cubicBezTo>
                                  <a:pt x="296" y="358"/>
                                  <a:pt x="1028" y="0"/>
                                  <a:pt x="1775" y="517"/>
                                </a:cubicBezTo>
                                <a:cubicBezTo>
                                  <a:pt x="2528" y="1040"/>
                                  <a:pt x="2372" y="2054"/>
                                  <a:pt x="2079" y="2358"/>
                                </a:cubicBezTo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72000">
                            <a:off x="-4680" y="8280"/>
                            <a:ext cx="795600" cy="443880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72000">
                            <a:off x="145080" y="13680"/>
                            <a:ext cx="602640" cy="335880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Obrázek1" style="position:absolute;margin-left:-252.95pt;margin-top:-51.95pt;width:273.7pt;height:157.15pt" coordorigin="-5059,-1039" coordsize="5474,3143">
              <v:group id="shape_0" style="position:absolute;left:-5059;top:1383;width:5474;height:721">
                <v:oval id="shape_0" fillcolor="#d3dfee" stroked="f" style="position:absolute;left:-5072;top:1383;width:1252;height:698;rotation:1;mso-position-horizontal-relative:page;mso-position-vertical:top;mso-position-vertical-relative:page">
                  <w10:wrap type="none"/>
                  <v:fill o:detectmouseclick="t" type="solid" color2="#2c2011"/>
                  <v:stroke color="#3465a4" joinstyle="round" endcap="flat"/>
                </v:oval>
                <v:oval id="shape_0" fillcolor="#7ba0cd" stroked="f" style="position:absolute;left:-4840;top:1391;width:948;height:528;rotation:1;mso-position-horizontal-relative:page;mso-position-vertical:top;mso-position-vertical-relative:page">
                  <w10:wrap type="none"/>
                  <v:fill o:detectmouseclick="t" type="solid" color2="#845f32"/>
                  <v:stroke color="#3465a4" joinstyle="round" endcap="flat"/>
                </v:oval>
              </v:group>
            </v:group>
          </w:pict>
        </mc:Fallback>
      </mc:AlternateContent>
    </w:r>
    <w:r>
      <w:rPr>
        <w:color w:val="365F91" w:themeColor="accent1" w:themeShade="bf"/>
      </w:rPr>
      <w:t>Koncepce ZŠ a MŠ Nížkovice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9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e6ef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e6efb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Smalltext" w:customStyle="1">
    <w:name w:val="small-text"/>
    <w:basedOn w:val="DefaultParagraphFont"/>
    <w:qFormat/>
    <w:rsid w:val="006e6ef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e6e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6efb"/>
    <w:rPr>
      <w:b/>
      <w:bCs/>
    </w:rPr>
  </w:style>
  <w:style w:type="character" w:styleId="Zdraznn">
    <w:name w:val="Zdůraznění"/>
    <w:basedOn w:val="DefaultParagraphFont"/>
    <w:uiPriority w:val="20"/>
    <w:qFormat/>
    <w:rsid w:val="00b62522"/>
    <w:rPr>
      <w:i/>
      <w:i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b62522"/>
    <w:rPr/>
  </w:style>
  <w:style w:type="character" w:styleId="ZpatChar" w:customStyle="1">
    <w:name w:val="Zápatí Char"/>
    <w:basedOn w:val="DefaultParagraphFont"/>
    <w:link w:val="Zpat"/>
    <w:uiPriority w:val="99"/>
    <w:qFormat/>
    <w:rsid w:val="00b62522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b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rFonts w:ascii="Times New Roman" w:hAnsi="Times New Roman"/>
      <w:sz w:val="24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rFonts w:ascii="Times New Roman" w:hAnsi="Times New Roman"/>
      <w:sz w:val="24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rFonts w:ascii="Times New Roman" w:hAnsi="Times New Roman"/>
      <w:sz w:val="24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Symbolyproslovn">
    <w:name w:val="Symboly pro číslování"/>
    <w:qFormat/>
    <w:rPr/>
  </w:style>
  <w:style w:type="character" w:styleId="ListLabel94">
    <w:name w:val="ListLabel 94"/>
    <w:qFormat/>
    <w:rPr>
      <w:rFonts w:ascii="Times New Roman" w:hAnsi="Times New Roman" w:cs="Symbol"/>
      <w:b/>
      <w:sz w:val="24"/>
    </w:rPr>
  </w:style>
  <w:style w:type="character" w:styleId="ListLabel95">
    <w:name w:val="ListLabel 95"/>
    <w:qFormat/>
    <w:rPr>
      <w:rFonts w:cs="Courier New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ascii="Times New Roman" w:hAnsi="Times New Roman" w:cs="Symbol"/>
      <w:sz w:val="24"/>
    </w:rPr>
  </w:style>
  <w:style w:type="character" w:styleId="ListLabel104">
    <w:name w:val="ListLabel 104"/>
    <w:qFormat/>
    <w:rPr>
      <w:rFonts w:cs="Courier New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ascii="Times New Roman" w:hAnsi="Times New Roman" w:cs="Symbol"/>
      <w:b/>
      <w:sz w:val="24"/>
    </w:rPr>
  </w:style>
  <w:style w:type="character" w:styleId="ListLabel113">
    <w:name w:val="ListLabel 113"/>
    <w:qFormat/>
    <w:rPr>
      <w:rFonts w:cs="Courier New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ascii="Times New Roman" w:hAnsi="Times New Roman" w:cs="Symbol"/>
      <w:sz w:val="24"/>
    </w:rPr>
  </w:style>
  <w:style w:type="character" w:styleId="ListLabel122">
    <w:name w:val="ListLabel 122"/>
    <w:qFormat/>
    <w:rPr>
      <w:rFonts w:cs="Courier New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ascii="Times New Roman" w:hAnsi="Times New Roman" w:cs="Symbol"/>
      <w:sz w:val="24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Symbol"/>
      <w:sz w:val="24"/>
    </w:rPr>
  </w:style>
  <w:style w:type="character" w:styleId="ListLabel140">
    <w:name w:val="ListLabel 140"/>
    <w:qFormat/>
    <w:rPr>
      <w:rFonts w:cs="Courier New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Wingdings"/>
      <w:sz w:val="20"/>
    </w:rPr>
  </w:style>
  <w:style w:type="character" w:styleId="ListLabel146">
    <w:name w:val="ListLabel 146"/>
    <w:qFormat/>
    <w:rPr>
      <w:rFonts w:cs="Wingdings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ascii="Times New Roman" w:hAnsi="Times New Roman" w:cs="Symbol"/>
      <w:sz w:val="24"/>
    </w:rPr>
  </w:style>
  <w:style w:type="character" w:styleId="ListLabel149">
    <w:name w:val="ListLabel 149"/>
    <w:qFormat/>
    <w:rPr>
      <w:rFonts w:cs="Courier New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cs="Wingdings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ascii="Times New Roman" w:hAnsi="Times New Roman" w:cs="Symbol"/>
      <w:sz w:val="24"/>
    </w:rPr>
  </w:style>
  <w:style w:type="character" w:styleId="ListLabel158">
    <w:name w:val="ListLabel 158"/>
    <w:qFormat/>
    <w:rPr>
      <w:rFonts w:cs="Courier New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Wingdings"/>
      <w:sz w:val="20"/>
    </w:rPr>
  </w:style>
  <w:style w:type="character" w:styleId="ListLabel164">
    <w:name w:val="ListLabel 164"/>
    <w:qFormat/>
    <w:rPr>
      <w:rFonts w:cs="Wingdings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66">
    <w:name w:val="ListLabel 166"/>
    <w:qFormat/>
    <w:rPr>
      <w:rFonts w:ascii="Times New Roman" w:hAnsi="Times New Roman" w:cs="Symbol"/>
      <w:b/>
      <w:sz w:val="24"/>
    </w:rPr>
  </w:style>
  <w:style w:type="character" w:styleId="ListLabel167">
    <w:name w:val="ListLabel 167"/>
    <w:qFormat/>
    <w:rPr>
      <w:rFonts w:cs="Courier New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Wingdings"/>
      <w:sz w:val="20"/>
    </w:rPr>
  </w:style>
  <w:style w:type="character" w:styleId="ListLabel173">
    <w:name w:val="ListLabel 173"/>
    <w:qFormat/>
    <w:rPr>
      <w:rFonts w:cs="Wingdings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ascii="Times New Roman" w:hAnsi="Times New Roman" w:cs="Symbol"/>
      <w:sz w:val="24"/>
    </w:rPr>
  </w:style>
  <w:style w:type="character" w:styleId="ListLabel176">
    <w:name w:val="ListLabel 176"/>
    <w:qFormat/>
    <w:rPr>
      <w:rFonts w:cs="Courier New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Wingdings"/>
      <w:sz w:val="20"/>
    </w:rPr>
  </w:style>
  <w:style w:type="character" w:styleId="ListLabel182">
    <w:name w:val="ListLabel 182"/>
    <w:qFormat/>
    <w:rPr>
      <w:rFonts w:cs="Wingdings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ascii="Times New Roman" w:hAnsi="Times New Roman" w:cs="Symbol"/>
      <w:b/>
      <w:sz w:val="24"/>
    </w:rPr>
  </w:style>
  <w:style w:type="character" w:styleId="ListLabel185">
    <w:name w:val="ListLabel 185"/>
    <w:qFormat/>
    <w:rPr>
      <w:rFonts w:cs="Courier New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Wingdings"/>
      <w:sz w:val="20"/>
    </w:rPr>
  </w:style>
  <w:style w:type="character" w:styleId="ListLabel191">
    <w:name w:val="ListLabel 191"/>
    <w:qFormat/>
    <w:rPr>
      <w:rFonts w:cs="Wingdings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ascii="Times New Roman" w:hAnsi="Times New Roman" w:cs="Symbol"/>
      <w:sz w:val="24"/>
    </w:rPr>
  </w:style>
  <w:style w:type="character" w:styleId="ListLabel194">
    <w:name w:val="ListLabel 194"/>
    <w:qFormat/>
    <w:rPr>
      <w:rFonts w:cs="Courier New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ascii="Times New Roman" w:hAnsi="Times New Roman" w:cs="Symbol"/>
      <w:sz w:val="24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ascii="Times New Roman" w:hAnsi="Times New Roman" w:cs="Symbol"/>
      <w:sz w:val="24"/>
    </w:rPr>
  </w:style>
  <w:style w:type="character" w:styleId="ListLabel212">
    <w:name w:val="ListLabel 212"/>
    <w:qFormat/>
    <w:rPr>
      <w:rFonts w:cs="Courier New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Wingdings"/>
      <w:sz w:val="20"/>
    </w:rPr>
  </w:style>
  <w:style w:type="character" w:styleId="ListLabel218">
    <w:name w:val="ListLabel 218"/>
    <w:qFormat/>
    <w:rPr>
      <w:rFonts w:cs="Wingdings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ascii="Times New Roman" w:hAnsi="Times New Roman" w:cs="Symbol"/>
      <w:sz w:val="24"/>
    </w:rPr>
  </w:style>
  <w:style w:type="character" w:styleId="ListLabel221">
    <w:name w:val="ListLabel 221"/>
    <w:qFormat/>
    <w:rPr>
      <w:rFonts w:cs="Courier New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Wingdings"/>
      <w:sz w:val="20"/>
    </w:rPr>
  </w:style>
  <w:style w:type="character" w:styleId="ListLabel227">
    <w:name w:val="ListLabel 227"/>
    <w:qFormat/>
    <w:rPr>
      <w:rFonts w:cs="Wingdings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ascii="Times New Roman" w:hAnsi="Times New Roman" w:cs="Symbol"/>
      <w:sz w:val="24"/>
    </w:rPr>
  </w:style>
  <w:style w:type="character" w:styleId="ListLabel230">
    <w:name w:val="ListLabel 230"/>
    <w:qFormat/>
    <w:rPr>
      <w:rFonts w:cs="Courier New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Wingdings"/>
      <w:sz w:val="20"/>
    </w:rPr>
  </w:style>
  <w:style w:type="character" w:styleId="ListLabel236">
    <w:name w:val="ListLabel 236"/>
    <w:qFormat/>
    <w:rPr>
      <w:rFonts w:cs="Wingdings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e6e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e6e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h3" w:customStyle="1">
    <w:name w:val="styleh3"/>
    <w:basedOn w:val="Normal"/>
    <w:qFormat/>
    <w:rsid w:val="006e6e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e6efb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Zhlav">
    <w:name w:val="Header"/>
    <w:basedOn w:val="Normal"/>
    <w:link w:val="ZhlavChar"/>
    <w:uiPriority w:val="99"/>
    <w:unhideWhenUsed/>
    <w:rsid w:val="00b6252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b6252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3D5C5BA624D0692F7A148FDF22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952EC-57BF-4538-80A9-3656D436B3B1}"/>
      </w:docPartPr>
      <w:docPartBody>
        <w:p w:rsidR="0080104D" w:rsidRDefault="004A1062" w:rsidP="004A1062">
          <w:pPr>
            <w:pStyle w:val="11D3D5C5BA624D0692F7A148FDF2266B"/>
          </w:pPr>
          <w:r>
            <w:rPr>
              <w:color w:val="365F91" w:themeColor="accent1" w:themeShade="BF"/>
            </w:rPr>
            <w:t>[Zadejte název dokumentu.]</w:t>
          </w:r>
        </w:p>
      </w:docPartBody>
    </w:docPart>
    <w:docPart>
      <w:docPartPr>
        <w:name w:val="62FC6BBC761D4097B589DE0B64D62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D5BDD-740D-4160-9F13-7C27F6B86B0B}"/>
      </w:docPartPr>
      <w:docPartBody>
        <w:p w:rsidR="0080104D" w:rsidRDefault="004A1062" w:rsidP="004A1062">
          <w:pPr>
            <w:pStyle w:val="62FC6BBC761D4097B589DE0B64D6293E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441F"/>
    <w:rsid w:val="004A1062"/>
    <w:rsid w:val="005D7A39"/>
    <w:rsid w:val="0080104D"/>
    <w:rsid w:val="00860588"/>
    <w:rsid w:val="008B1159"/>
    <w:rsid w:val="00BF0F2A"/>
    <w:rsid w:val="00E1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3A9F2CB0DF43388AC422D014DB41CC">
    <w:name w:val="743A9F2CB0DF43388AC422D014DB41CC"/>
    <w:rsid w:val="00E1441F"/>
  </w:style>
  <w:style w:type="paragraph" w:customStyle="1" w:styleId="065000FCDCB34B8BBE2CC57078F9E616">
    <w:name w:val="065000FCDCB34B8BBE2CC57078F9E616"/>
    <w:rsid w:val="00E1441F"/>
  </w:style>
  <w:style w:type="paragraph" w:customStyle="1" w:styleId="11D3D5C5BA624D0692F7A148FDF2266B">
    <w:name w:val="11D3D5C5BA624D0692F7A148FDF2266B"/>
    <w:rsid w:val="004A1062"/>
  </w:style>
  <w:style w:type="paragraph" w:customStyle="1" w:styleId="62FC6BBC761D4097B589DE0B64D6293E">
    <w:name w:val="62FC6BBC761D4097B589DE0B64D6293E"/>
    <w:rsid w:val="004A10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LibreOffice/6.0.2.1$Windows_X86_64 LibreOffice_project/f7f06a8f319e4b62f9bc5095aa112a65d2f3ac89</Application>
  <Pages>6</Pages>
  <Words>1336</Words>
  <Characters>7970</Characters>
  <CharactersWithSpaces>9166</CharactersWithSpaces>
  <Paragraphs>106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2013-04-01T13:55:00Z</dcterms:created>
  <dc:creator>Ivona</dc:creator>
  <dc:description/>
  <dc:language>cs-CZ</dc:language>
  <cp:lastModifiedBy/>
  <cp:lastPrinted>2017-08-28T06:56:00Z</cp:lastPrinted>
  <dcterms:modified xsi:type="dcterms:W3CDTF">2020-08-23T18:05:01Z</dcterms:modified>
  <cp:revision>12</cp:revision>
  <dc:subject/>
  <dc:title>Koncepce ZŠ a MŠ Nížkovice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